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1080"/>
        <w:tblW w:w="1130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8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8870"/>
      </w:tblGrid>
      <w:tr w:rsidR="003862BE" w:rsidRPr="003862BE" w14:paraId="304ACF4F" w14:textId="77777777" w:rsidTr="002E56F2">
        <w:tc>
          <w:tcPr>
            <w:tcW w:w="2430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41CEA2F2" w14:textId="77777777" w:rsidR="002E56F2" w:rsidRPr="003862BE" w:rsidRDefault="002E56F2" w:rsidP="002E56F2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3862BE">
              <w:rPr>
                <w:rFonts w:cstheme="minorHAnsi"/>
                <w:noProof/>
              </w:rPr>
              <w:drawing>
                <wp:inline distT="0" distB="0" distL="0" distR="0" wp14:anchorId="5D42F7AF" wp14:editId="6D24E770">
                  <wp:extent cx="1333500" cy="103012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DB Website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847" cy="103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0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2F4DE552" w14:textId="6BA145E9" w:rsidR="002E56F2" w:rsidRPr="0042191A" w:rsidRDefault="002E56F2" w:rsidP="0042191A">
            <w:pPr>
              <w:pStyle w:val="Title"/>
              <w:jc w:val="center"/>
              <w:rPr>
                <w:sz w:val="32"/>
                <w:szCs w:val="32"/>
              </w:rPr>
            </w:pPr>
            <w:r w:rsidRPr="0042191A">
              <w:rPr>
                <w:sz w:val="32"/>
                <w:szCs w:val="32"/>
              </w:rPr>
              <w:t xml:space="preserve">Introductory Disability Training Series: A Guide </w:t>
            </w:r>
            <w:r w:rsidR="00CE1D0D" w:rsidRPr="0042191A">
              <w:rPr>
                <w:sz w:val="32"/>
                <w:szCs w:val="32"/>
              </w:rPr>
              <w:t>for</w:t>
            </w:r>
            <w:r w:rsidRPr="0042191A">
              <w:rPr>
                <w:sz w:val="32"/>
                <w:szCs w:val="32"/>
              </w:rPr>
              <w:t xml:space="preserve"> </w:t>
            </w:r>
            <w:r w:rsidR="00A10CCE">
              <w:rPr>
                <w:sz w:val="32"/>
                <w:szCs w:val="32"/>
              </w:rPr>
              <w:t>Implementation</w:t>
            </w:r>
          </w:p>
          <w:p w14:paraId="5A635899" w14:textId="77777777" w:rsidR="002E56F2" w:rsidRPr="0042191A" w:rsidRDefault="002E56F2" w:rsidP="002E56F2">
            <w:pPr>
              <w:jc w:val="center"/>
              <w:rPr>
                <w:rFonts w:cstheme="minorHAnsi"/>
              </w:rPr>
            </w:pPr>
          </w:p>
        </w:tc>
      </w:tr>
    </w:tbl>
    <w:p w14:paraId="40FFC87D" w14:textId="77777777" w:rsidR="002D3458" w:rsidRPr="003862BE" w:rsidRDefault="00964C3A">
      <w:pPr>
        <w:rPr>
          <w:rFonts w:cstheme="minorHAnsi"/>
        </w:rPr>
      </w:pPr>
    </w:p>
    <w:p w14:paraId="2FBB457E" w14:textId="379979DF" w:rsidR="00822DFA" w:rsidRPr="00CD5B8E" w:rsidRDefault="00DB1A99" w:rsidP="00CD5B8E">
      <w:pPr>
        <w:pStyle w:val="Heading1"/>
      </w:pPr>
      <w:r w:rsidRPr="00CD5B8E">
        <w:t>OVERVIEW</w:t>
      </w:r>
    </w:p>
    <w:p w14:paraId="3E65C3B2" w14:textId="3DA39763" w:rsidR="00DB1A99" w:rsidRPr="003862BE" w:rsidRDefault="00535145" w:rsidP="002E56F2">
      <w:pPr>
        <w:rPr>
          <w:rFonts w:cstheme="minorHAnsi"/>
        </w:rPr>
      </w:pPr>
      <w:r w:rsidRPr="003862BE">
        <w:rPr>
          <w:rFonts w:cstheme="minorHAnsi"/>
        </w:rPr>
        <w:t xml:space="preserve">The </w:t>
      </w:r>
      <w:r w:rsidR="00DB1A99" w:rsidRPr="003862BE">
        <w:rPr>
          <w:rFonts w:cstheme="minorHAnsi"/>
        </w:rPr>
        <w:t>S</w:t>
      </w:r>
      <w:r w:rsidRPr="003862BE">
        <w:rPr>
          <w:rFonts w:cstheme="minorHAnsi"/>
        </w:rPr>
        <w:t xml:space="preserve">tate and </w:t>
      </w:r>
      <w:r w:rsidR="00DB1A99" w:rsidRPr="003862BE">
        <w:rPr>
          <w:rFonts w:cstheme="minorHAnsi"/>
        </w:rPr>
        <w:t>L</w:t>
      </w:r>
      <w:r w:rsidR="00C462D0" w:rsidRPr="003862BE">
        <w:rPr>
          <w:rFonts w:cstheme="minorHAnsi"/>
        </w:rPr>
        <w:t>ocal D</w:t>
      </w:r>
      <w:r w:rsidRPr="003862BE">
        <w:rPr>
          <w:rFonts w:cstheme="minorHAnsi"/>
        </w:rPr>
        <w:t>isability Access Committee</w:t>
      </w:r>
      <w:r w:rsidR="00C462D0" w:rsidRPr="003862BE">
        <w:rPr>
          <w:rFonts w:cstheme="minorHAnsi"/>
        </w:rPr>
        <w:t>s</w:t>
      </w:r>
      <w:r w:rsidRPr="003862BE">
        <w:rPr>
          <w:rFonts w:cstheme="minorHAnsi"/>
        </w:rPr>
        <w:t xml:space="preserve"> </w:t>
      </w:r>
      <w:r w:rsidR="00C462D0" w:rsidRPr="003862BE">
        <w:rPr>
          <w:rFonts w:cstheme="minorHAnsi"/>
        </w:rPr>
        <w:t xml:space="preserve">are </w:t>
      </w:r>
      <w:r w:rsidRPr="003862BE">
        <w:rPr>
          <w:rFonts w:cstheme="minorHAnsi"/>
        </w:rPr>
        <w:t xml:space="preserve">responsible to implement the disability access </w:t>
      </w:r>
      <w:r w:rsidR="00C462D0" w:rsidRPr="003862BE">
        <w:rPr>
          <w:rFonts w:cstheme="minorHAnsi"/>
        </w:rPr>
        <w:t xml:space="preserve">initiative </w:t>
      </w:r>
      <w:r w:rsidRPr="003862BE">
        <w:rPr>
          <w:rFonts w:cstheme="minorHAnsi"/>
        </w:rPr>
        <w:t xml:space="preserve">to increase the accessibility of Iowa’s one-stop delivery system for individuals with disabilities. </w:t>
      </w:r>
      <w:r w:rsidR="00C462D0" w:rsidRPr="003862BE">
        <w:rPr>
          <w:rFonts w:cstheme="minorHAnsi"/>
        </w:rPr>
        <w:t xml:space="preserve"> As </w:t>
      </w:r>
      <w:r w:rsidR="00DB1A99" w:rsidRPr="003862BE">
        <w:rPr>
          <w:rFonts w:cstheme="minorHAnsi"/>
        </w:rPr>
        <w:t>Iowa</w:t>
      </w:r>
      <w:r w:rsidR="00C462D0" w:rsidRPr="003862BE">
        <w:rPr>
          <w:rFonts w:cstheme="minorHAnsi"/>
        </w:rPr>
        <w:t xml:space="preserve"> continue</w:t>
      </w:r>
      <w:r w:rsidR="00DB1A99" w:rsidRPr="003862BE">
        <w:rPr>
          <w:rFonts w:cstheme="minorHAnsi"/>
        </w:rPr>
        <w:t>s</w:t>
      </w:r>
      <w:r w:rsidR="00C462D0" w:rsidRPr="003862BE">
        <w:rPr>
          <w:rFonts w:cstheme="minorHAnsi"/>
        </w:rPr>
        <w:t xml:space="preserve"> to build on this init</w:t>
      </w:r>
      <w:r w:rsidR="00DB1A99" w:rsidRPr="003862BE">
        <w:rPr>
          <w:rFonts w:cstheme="minorHAnsi"/>
        </w:rPr>
        <w:t xml:space="preserve">iative, the importance of </w:t>
      </w:r>
      <w:r w:rsidR="00C462D0" w:rsidRPr="003862BE">
        <w:rPr>
          <w:rFonts w:cstheme="minorHAnsi"/>
        </w:rPr>
        <w:t>customer-centered design and ensuring effective communication with all customers</w:t>
      </w:r>
      <w:r w:rsidR="00DB1A99" w:rsidRPr="003862BE">
        <w:rPr>
          <w:rFonts w:cstheme="minorHAnsi"/>
        </w:rPr>
        <w:t xml:space="preserve"> remains a key objective</w:t>
      </w:r>
      <w:r w:rsidR="00C462D0" w:rsidRPr="003862BE">
        <w:rPr>
          <w:rFonts w:cstheme="minorHAnsi"/>
        </w:rPr>
        <w:t xml:space="preserve">. </w:t>
      </w:r>
      <w:r w:rsidR="00DB1A99" w:rsidRPr="003862BE">
        <w:rPr>
          <w:rFonts w:cstheme="minorHAnsi"/>
        </w:rPr>
        <w:t xml:space="preserve">In order to ensure that Iowans with disabilities experience seamless customer service, our one-stop system partner staff must understand the importance of knowing and understanding how to interact with and provide services to customers with disabilities. </w:t>
      </w:r>
      <w:r w:rsidR="00C462D0" w:rsidRPr="003862BE">
        <w:rPr>
          <w:rFonts w:cstheme="minorHAnsi"/>
        </w:rPr>
        <w:t xml:space="preserve">In an effort to assist local Disability Access Committees in meeting </w:t>
      </w:r>
      <w:r w:rsidR="00801770" w:rsidRPr="003862BE">
        <w:rPr>
          <w:rFonts w:cstheme="minorHAnsi"/>
        </w:rPr>
        <w:t>this objective</w:t>
      </w:r>
      <w:r w:rsidR="00C462D0" w:rsidRPr="003862BE">
        <w:rPr>
          <w:rFonts w:cstheme="minorHAnsi"/>
        </w:rPr>
        <w:t>, a series of</w:t>
      </w:r>
      <w:r w:rsidR="00DB1A99" w:rsidRPr="003862BE">
        <w:rPr>
          <w:rFonts w:cstheme="minorHAnsi"/>
        </w:rPr>
        <w:t xml:space="preserve"> introductory-level trainings have been </w:t>
      </w:r>
      <w:r w:rsidR="00DA0D2C" w:rsidRPr="003862BE">
        <w:rPr>
          <w:rFonts w:cstheme="minorHAnsi"/>
        </w:rPr>
        <w:t>d</w:t>
      </w:r>
      <w:r w:rsidR="00CD5B8E">
        <w:rPr>
          <w:rFonts w:cstheme="minorHAnsi"/>
        </w:rPr>
        <w:t>eveloped for use with local one-</w:t>
      </w:r>
      <w:r w:rsidR="00DA0D2C" w:rsidRPr="003862BE">
        <w:rPr>
          <w:rFonts w:cstheme="minorHAnsi"/>
        </w:rPr>
        <w:t>stop center staff</w:t>
      </w:r>
      <w:r w:rsidR="00DB1A99" w:rsidRPr="003862BE">
        <w:rPr>
          <w:rFonts w:cstheme="minorHAnsi"/>
        </w:rPr>
        <w:t xml:space="preserve">. </w:t>
      </w:r>
    </w:p>
    <w:p w14:paraId="61116418" w14:textId="77777777" w:rsidR="00DB1A99" w:rsidRPr="000E21F3" w:rsidRDefault="00DB1A99" w:rsidP="00CD5B8E">
      <w:pPr>
        <w:pStyle w:val="Heading1"/>
      </w:pPr>
      <w:r w:rsidRPr="0042191A">
        <w:t>PURPOSE</w:t>
      </w:r>
    </w:p>
    <w:p w14:paraId="4776A361" w14:textId="6A368C2E" w:rsidR="00CD5B8E" w:rsidRDefault="00DB1A99" w:rsidP="00CD5B8E">
      <w:r w:rsidRPr="00CD5B8E">
        <w:t>T</w:t>
      </w:r>
      <w:r w:rsidR="002E56F2" w:rsidRPr="00CD5B8E">
        <w:t>his document is to provide guidance to WIOA partner</w:t>
      </w:r>
      <w:r w:rsidRPr="00CD5B8E">
        <w:t>s on</w:t>
      </w:r>
      <w:r w:rsidR="002E56F2" w:rsidRPr="00CD5B8E">
        <w:t xml:space="preserve"> the use of </w:t>
      </w:r>
      <w:r w:rsidR="00CE1D0D" w:rsidRPr="00CD5B8E">
        <w:t xml:space="preserve">the Disability Access training series </w:t>
      </w:r>
      <w:r w:rsidRPr="00CD5B8E">
        <w:t xml:space="preserve">within the </w:t>
      </w:r>
      <w:r w:rsidR="00A10CCE">
        <w:t>American Job Center</w:t>
      </w:r>
      <w:r w:rsidRPr="00CD5B8E">
        <w:t xml:space="preserve">. </w:t>
      </w:r>
      <w:r w:rsidR="002E56F2" w:rsidRPr="00CD5B8E">
        <w:t xml:space="preserve">  </w:t>
      </w:r>
      <w:r w:rsidR="00A10CCE" w:rsidRPr="00A3257E">
        <w:rPr>
          <w:rFonts w:cstheme="minorHAnsi"/>
          <w:shd w:val="clear" w:color="auto" w:fill="F9F9F9"/>
        </w:rPr>
        <w:t>The focus</w:t>
      </w:r>
      <w:r w:rsidR="00A10CCE">
        <w:rPr>
          <w:rFonts w:cstheme="minorHAnsi"/>
          <w:shd w:val="clear" w:color="auto" w:fill="F9F9F9"/>
        </w:rPr>
        <w:t xml:space="preserve"> of the training series is to provide </w:t>
      </w:r>
      <w:r w:rsidR="00A10CCE" w:rsidRPr="00A3257E">
        <w:rPr>
          <w:rFonts w:cstheme="minorHAnsi"/>
          <w:shd w:val="clear" w:color="auto" w:fill="F9F9F9"/>
        </w:rPr>
        <w:t xml:space="preserve">effective practices that enable </w:t>
      </w:r>
      <w:r w:rsidR="00A10CCE">
        <w:rPr>
          <w:rFonts w:cstheme="minorHAnsi"/>
          <w:shd w:val="clear" w:color="auto" w:fill="F9F9F9"/>
        </w:rPr>
        <w:t>American Job Center partners</w:t>
      </w:r>
      <w:r w:rsidR="00A10CCE" w:rsidRPr="00A3257E">
        <w:rPr>
          <w:rFonts w:cstheme="minorHAnsi"/>
          <w:shd w:val="clear" w:color="auto" w:fill="F9F9F9"/>
        </w:rPr>
        <w:t xml:space="preserve"> to provide comprehensive and customer-focused employment services to persons with disabilities. </w:t>
      </w:r>
      <w:r w:rsidR="002E56F2" w:rsidRPr="00CD5B8E">
        <w:t xml:space="preserve">The </w:t>
      </w:r>
      <w:r w:rsidR="00DA0D2C" w:rsidRPr="00CD5B8E">
        <w:t>series is</w:t>
      </w:r>
      <w:r w:rsidR="002E56F2" w:rsidRPr="00CD5B8E">
        <w:t xml:space="preserve"> comprised of </w:t>
      </w:r>
      <w:r w:rsidR="00822DFA" w:rsidRPr="00CD5B8E">
        <w:t xml:space="preserve">recorded </w:t>
      </w:r>
      <w:r w:rsidR="002E56F2" w:rsidRPr="00CD5B8E">
        <w:t xml:space="preserve">webinars and is meant to </w:t>
      </w:r>
      <w:r w:rsidR="00822DFA" w:rsidRPr="00CD5B8E">
        <w:t>be used with</w:t>
      </w:r>
      <w:r w:rsidR="002E56F2" w:rsidRPr="00CD5B8E">
        <w:t xml:space="preserve"> staff representatives from leadership, management and direct service delivery within all partner programs. </w:t>
      </w:r>
      <w:r w:rsidR="00A10CCE">
        <w:t xml:space="preserve"> </w:t>
      </w:r>
    </w:p>
    <w:p w14:paraId="0EF29A8A" w14:textId="54B1E3A2" w:rsidR="00822DFA" w:rsidRPr="00CE1D0D" w:rsidRDefault="00822DFA" w:rsidP="00CD5B8E">
      <w:pPr>
        <w:pStyle w:val="Heading1"/>
      </w:pPr>
      <w:r w:rsidRPr="00CD5B8E">
        <w:t>INTENDED USE</w:t>
      </w:r>
    </w:p>
    <w:p w14:paraId="22BC44AF" w14:textId="3E896D73" w:rsidR="000E21F3" w:rsidRDefault="000E21F3" w:rsidP="002E56F2">
      <w:pPr>
        <w:rPr>
          <w:rFonts w:cstheme="minorHAnsi"/>
        </w:rPr>
      </w:pPr>
      <w:r w:rsidRPr="00A3257E">
        <w:rPr>
          <w:rFonts w:cstheme="minorHAnsi"/>
          <w:shd w:val="clear" w:color="auto" w:fill="F9F9F9"/>
        </w:rPr>
        <w:t>The focus</w:t>
      </w:r>
      <w:r>
        <w:rPr>
          <w:rFonts w:cstheme="minorHAnsi"/>
          <w:shd w:val="clear" w:color="auto" w:fill="F9F9F9"/>
        </w:rPr>
        <w:t xml:space="preserve"> of the training series is to provide </w:t>
      </w:r>
      <w:r w:rsidRPr="00A3257E">
        <w:rPr>
          <w:rFonts w:cstheme="minorHAnsi"/>
          <w:shd w:val="clear" w:color="auto" w:fill="F9F9F9"/>
        </w:rPr>
        <w:t xml:space="preserve">effective practices that enable </w:t>
      </w:r>
      <w:r w:rsidR="00A10CCE">
        <w:rPr>
          <w:rFonts w:cstheme="minorHAnsi"/>
          <w:shd w:val="clear" w:color="auto" w:fill="F9F9F9"/>
        </w:rPr>
        <w:t>American Job Center partners</w:t>
      </w:r>
      <w:r w:rsidRPr="00A3257E">
        <w:rPr>
          <w:rFonts w:cstheme="minorHAnsi"/>
          <w:shd w:val="clear" w:color="auto" w:fill="F9F9F9"/>
        </w:rPr>
        <w:t xml:space="preserve"> to provide comprehensive and customer-focused employment services to persons with disabilities. </w:t>
      </w:r>
      <w:r w:rsidR="00B43506" w:rsidRPr="003862BE">
        <w:rPr>
          <w:rFonts w:cstheme="minorHAnsi"/>
        </w:rPr>
        <w:t xml:space="preserve">As your disability access committee moves forward to implement this training it is important to survey </w:t>
      </w:r>
      <w:r w:rsidR="003862BE">
        <w:rPr>
          <w:rFonts w:cstheme="minorHAnsi"/>
        </w:rPr>
        <w:t>one-stop center staff</w:t>
      </w:r>
      <w:r w:rsidR="00B43506" w:rsidRPr="003862BE">
        <w:rPr>
          <w:rFonts w:cstheme="minorHAnsi"/>
        </w:rPr>
        <w:t xml:space="preserve"> and customers to ensure you are </w:t>
      </w:r>
      <w:r>
        <w:rPr>
          <w:rFonts w:cstheme="minorHAnsi"/>
        </w:rPr>
        <w:t>selecting</w:t>
      </w:r>
      <w:r w:rsidR="00B43506" w:rsidRPr="003862BE">
        <w:rPr>
          <w:rFonts w:cstheme="minorHAnsi"/>
        </w:rPr>
        <w:t xml:space="preserve"> training</w:t>
      </w:r>
      <w:r>
        <w:rPr>
          <w:rFonts w:cstheme="minorHAnsi"/>
        </w:rPr>
        <w:t>s that are</w:t>
      </w:r>
      <w:r w:rsidR="00B43506" w:rsidRPr="003862BE">
        <w:rPr>
          <w:rFonts w:cstheme="minorHAnsi"/>
        </w:rPr>
        <w:t xml:space="preserve"> relevant and important to your local team and customers. </w:t>
      </w:r>
    </w:p>
    <w:p w14:paraId="08AB2139" w14:textId="16D8781B" w:rsidR="003862BE" w:rsidRPr="003862BE" w:rsidRDefault="003862BE" w:rsidP="003862BE">
      <w:pPr>
        <w:rPr>
          <w:rFonts w:cstheme="minorHAnsi"/>
        </w:rPr>
      </w:pPr>
      <w:r w:rsidRPr="00A10CCE">
        <w:rPr>
          <w:rFonts w:cstheme="minorHAnsi"/>
          <w:shd w:val="clear" w:color="auto" w:fill="F9F9F9"/>
        </w:rPr>
        <w:t>Each of the trainings are presented in a webinar format with a variety of acc</w:t>
      </w:r>
      <w:r w:rsidR="000E21F3" w:rsidRPr="00A10CCE">
        <w:rPr>
          <w:rFonts w:cstheme="minorHAnsi"/>
          <w:shd w:val="clear" w:color="auto" w:fill="F9F9F9"/>
        </w:rPr>
        <w:t>essibility features to allow</w:t>
      </w:r>
      <w:r w:rsidRPr="00A10CCE">
        <w:rPr>
          <w:rFonts w:cstheme="minorHAnsi"/>
          <w:shd w:val="clear" w:color="auto" w:fill="F9F9F9"/>
        </w:rPr>
        <w:t xml:space="preserve"> all staff to participate</w:t>
      </w:r>
      <w:r w:rsidR="00D7741F" w:rsidRPr="00A10CCE">
        <w:rPr>
          <w:rFonts w:cstheme="minorHAnsi"/>
          <w:shd w:val="clear" w:color="auto" w:fill="F9F9F9"/>
        </w:rPr>
        <w:t>. Several</w:t>
      </w:r>
      <w:r w:rsidRPr="00A10CCE">
        <w:rPr>
          <w:rFonts w:cstheme="minorHAnsi"/>
          <w:shd w:val="clear" w:color="auto" w:fill="F9F9F9"/>
        </w:rPr>
        <w:t xml:space="preserve"> of the trainings </w:t>
      </w:r>
      <w:r w:rsidR="00D7741F" w:rsidRPr="00A10CCE">
        <w:rPr>
          <w:rFonts w:cstheme="minorHAnsi"/>
          <w:shd w:val="clear" w:color="auto" w:fill="F9F9F9"/>
        </w:rPr>
        <w:t>include</w:t>
      </w:r>
      <w:r w:rsidRPr="00A10CCE">
        <w:rPr>
          <w:rFonts w:cstheme="minorHAnsi"/>
          <w:shd w:val="clear" w:color="auto" w:fill="F9F9F9"/>
        </w:rPr>
        <w:t xml:space="preserve"> a </w:t>
      </w:r>
      <w:r w:rsidR="00D7741F" w:rsidRPr="00A10CCE">
        <w:rPr>
          <w:rFonts w:cstheme="minorHAnsi"/>
          <w:shd w:val="clear" w:color="auto" w:fill="F9F9F9"/>
        </w:rPr>
        <w:t>discussion</w:t>
      </w:r>
      <w:r w:rsidRPr="00A10CCE">
        <w:rPr>
          <w:rFonts w:cstheme="minorHAnsi"/>
          <w:shd w:val="clear" w:color="auto" w:fill="F9F9F9"/>
        </w:rPr>
        <w:t xml:space="preserve"> guide and self-assessment designed to</w:t>
      </w:r>
      <w:r w:rsidR="00D7741F" w:rsidRPr="00A10CCE">
        <w:rPr>
          <w:rFonts w:cstheme="minorHAnsi"/>
          <w:shd w:val="clear" w:color="auto" w:fill="F9F9F9"/>
        </w:rPr>
        <w:t xml:space="preserve"> facilitate discussion on the topic,</w:t>
      </w:r>
      <w:r w:rsidRPr="00A10CCE">
        <w:rPr>
          <w:rFonts w:cstheme="minorHAnsi"/>
          <w:shd w:val="clear" w:color="auto" w:fill="F9F9F9"/>
        </w:rPr>
        <w:t xml:space="preserve"> enhance the learning process</w:t>
      </w:r>
      <w:r w:rsidR="00D7741F" w:rsidRPr="00A10CCE">
        <w:rPr>
          <w:rFonts w:cstheme="minorHAnsi"/>
          <w:shd w:val="clear" w:color="auto" w:fill="F9F9F9"/>
        </w:rPr>
        <w:t xml:space="preserve">, </w:t>
      </w:r>
      <w:r w:rsidRPr="00A10CCE">
        <w:rPr>
          <w:rFonts w:cstheme="minorHAnsi"/>
          <w:shd w:val="clear" w:color="auto" w:fill="F9F9F9"/>
        </w:rPr>
        <w:t xml:space="preserve">and allow staff to reflect on what they have learned. </w:t>
      </w:r>
    </w:p>
    <w:p w14:paraId="2C0D745C" w14:textId="77777777" w:rsidR="002E56F2" w:rsidRPr="000A2E1F" w:rsidRDefault="00822DFA" w:rsidP="00CD5B8E">
      <w:pPr>
        <w:pStyle w:val="Heading1"/>
      </w:pPr>
      <w:r w:rsidRPr="000A2E1F">
        <w:t>TRAINING TOPICS</w:t>
      </w:r>
    </w:p>
    <w:p w14:paraId="1B35AB17" w14:textId="7C015924" w:rsidR="002E56F2" w:rsidRPr="003862BE" w:rsidRDefault="002E56F2" w:rsidP="002E56F2">
      <w:pPr>
        <w:rPr>
          <w:rFonts w:cstheme="minorHAnsi"/>
        </w:rPr>
      </w:pPr>
      <w:r w:rsidRPr="003862BE">
        <w:rPr>
          <w:rFonts w:cstheme="minorHAnsi"/>
        </w:rPr>
        <w:t xml:space="preserve">The training webinars can be found on </w:t>
      </w:r>
      <w:r w:rsidR="00CA424E">
        <w:rPr>
          <w:rFonts w:cstheme="minorHAnsi"/>
        </w:rPr>
        <w:t xml:space="preserve">the Future Ready Iowa website: </w:t>
      </w:r>
      <w:hyperlink r:id="rId8" w:history="1">
        <w:r w:rsidR="00DB0A89">
          <w:rPr>
            <w:rStyle w:val="Hyperlink"/>
          </w:rPr>
          <w:t>https://www.futurereadyiowa.gov/disabilitytraining</w:t>
        </w:r>
      </w:hyperlink>
      <w:hyperlink r:id="rId9" w:history="1"/>
    </w:p>
    <w:p w14:paraId="74F157A3" w14:textId="77777777" w:rsidR="002E56F2" w:rsidRDefault="002E56F2" w:rsidP="002E56F2">
      <w:pPr>
        <w:rPr>
          <w:rFonts w:cstheme="minorHAnsi"/>
        </w:rPr>
      </w:pPr>
      <w:r w:rsidRPr="003862BE">
        <w:rPr>
          <w:rFonts w:cstheme="minorHAnsi"/>
        </w:rPr>
        <w:t>Available webinars include the following topics:</w:t>
      </w:r>
    </w:p>
    <w:p w14:paraId="2C9999D5" w14:textId="2EA104FC" w:rsidR="002119D8" w:rsidRPr="00CD5B8E" w:rsidRDefault="002119D8" w:rsidP="00CD5B8E">
      <w:pPr>
        <w:rPr>
          <w:b/>
        </w:rPr>
      </w:pPr>
      <w:r w:rsidRPr="00CD5B8E">
        <w:rPr>
          <w:b/>
        </w:rPr>
        <w:t>Understanding WIOA programs:</w:t>
      </w:r>
    </w:p>
    <w:p w14:paraId="18ADBA32" w14:textId="1EBCAC69" w:rsidR="002119D8" w:rsidRPr="003862BE" w:rsidRDefault="00CA424E" w:rsidP="00211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Adult Education and Literacy</w:t>
      </w:r>
    </w:p>
    <w:p w14:paraId="5BCCCC68" w14:textId="77777777" w:rsidR="002119D8" w:rsidRPr="003862BE" w:rsidRDefault="002119D8" w:rsidP="002119D8">
      <w:pPr>
        <w:pStyle w:val="ListParagraph"/>
        <w:numPr>
          <w:ilvl w:val="0"/>
          <w:numId w:val="1"/>
        </w:numPr>
        <w:rPr>
          <w:rFonts w:cstheme="minorHAnsi"/>
        </w:rPr>
      </w:pPr>
      <w:r w:rsidRPr="003862BE">
        <w:rPr>
          <w:rFonts w:cstheme="minorHAnsi"/>
        </w:rPr>
        <w:t xml:space="preserve">Title I of the Workforce Innovation and Opportunity Act </w:t>
      </w:r>
    </w:p>
    <w:p w14:paraId="2794A1D9" w14:textId="77777777" w:rsidR="002119D8" w:rsidRPr="003862BE" w:rsidRDefault="002119D8" w:rsidP="002119D8">
      <w:pPr>
        <w:pStyle w:val="ListParagraph"/>
        <w:numPr>
          <w:ilvl w:val="0"/>
          <w:numId w:val="1"/>
        </w:numPr>
        <w:rPr>
          <w:rFonts w:cstheme="minorHAnsi"/>
        </w:rPr>
      </w:pPr>
      <w:r w:rsidRPr="003862BE">
        <w:rPr>
          <w:rFonts w:cstheme="minorHAnsi"/>
        </w:rPr>
        <w:t>An overview of Iowa Vocational Rehabilitation Services</w:t>
      </w:r>
    </w:p>
    <w:p w14:paraId="0C11D588" w14:textId="77777777" w:rsidR="002119D8" w:rsidRPr="003862BE" w:rsidRDefault="002119D8" w:rsidP="002119D8">
      <w:pPr>
        <w:pStyle w:val="ListParagraph"/>
        <w:numPr>
          <w:ilvl w:val="0"/>
          <w:numId w:val="1"/>
        </w:numPr>
        <w:rPr>
          <w:rFonts w:cstheme="minorHAnsi"/>
        </w:rPr>
      </w:pPr>
      <w:r w:rsidRPr="003862BE">
        <w:rPr>
          <w:rFonts w:cstheme="minorHAnsi"/>
        </w:rPr>
        <w:t>An overview of the Iowa Department for the Blind</w:t>
      </w:r>
    </w:p>
    <w:p w14:paraId="445881A0" w14:textId="50C0BB64" w:rsidR="002119D8" w:rsidRPr="002119D8" w:rsidRDefault="002119D8" w:rsidP="002E56F2">
      <w:pPr>
        <w:pStyle w:val="ListParagraph"/>
        <w:numPr>
          <w:ilvl w:val="0"/>
          <w:numId w:val="1"/>
        </w:numPr>
        <w:rPr>
          <w:rFonts w:cstheme="minorHAnsi"/>
        </w:rPr>
      </w:pPr>
      <w:r w:rsidRPr="003862BE">
        <w:rPr>
          <w:rFonts w:cstheme="minorHAnsi"/>
        </w:rPr>
        <w:t>Registered Apprenticeship Programs</w:t>
      </w:r>
    </w:p>
    <w:p w14:paraId="1E0D0BC4" w14:textId="13D39B92" w:rsidR="002119D8" w:rsidRDefault="002119D8" w:rsidP="002E56F2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Serving Customers with Barriers to Employment:</w:t>
      </w:r>
    </w:p>
    <w:p w14:paraId="6D91A41E" w14:textId="77777777" w:rsidR="002119D8" w:rsidRPr="003862BE" w:rsidRDefault="002119D8" w:rsidP="002119D8">
      <w:pPr>
        <w:pStyle w:val="ListParagraph"/>
        <w:numPr>
          <w:ilvl w:val="0"/>
          <w:numId w:val="1"/>
        </w:numPr>
        <w:rPr>
          <w:rFonts w:cstheme="minorHAnsi"/>
        </w:rPr>
      </w:pPr>
      <w:r w:rsidRPr="003862BE">
        <w:rPr>
          <w:rFonts w:cstheme="minorHAnsi"/>
        </w:rPr>
        <w:t>Disability Etiquette</w:t>
      </w:r>
    </w:p>
    <w:p w14:paraId="075216DA" w14:textId="77777777" w:rsidR="002119D8" w:rsidRPr="003862BE" w:rsidRDefault="002119D8" w:rsidP="002119D8">
      <w:pPr>
        <w:pStyle w:val="ListParagraph"/>
        <w:numPr>
          <w:ilvl w:val="0"/>
          <w:numId w:val="1"/>
        </w:numPr>
        <w:rPr>
          <w:rFonts w:cstheme="minorHAnsi"/>
        </w:rPr>
      </w:pPr>
      <w:r w:rsidRPr="003862BE">
        <w:rPr>
          <w:rFonts w:cstheme="minorHAnsi"/>
        </w:rPr>
        <w:t>Motivational Interviewing 101</w:t>
      </w:r>
    </w:p>
    <w:p w14:paraId="0C260F06" w14:textId="77777777" w:rsidR="002119D8" w:rsidRPr="003862BE" w:rsidRDefault="002119D8" w:rsidP="002119D8">
      <w:pPr>
        <w:pStyle w:val="ListParagraph"/>
        <w:numPr>
          <w:ilvl w:val="0"/>
          <w:numId w:val="1"/>
        </w:numPr>
        <w:rPr>
          <w:rFonts w:cstheme="minorHAnsi"/>
        </w:rPr>
      </w:pPr>
      <w:r w:rsidRPr="003862BE">
        <w:rPr>
          <w:rFonts w:cstheme="minorHAnsi"/>
        </w:rPr>
        <w:t>Serving Veterans with Disabilities</w:t>
      </w:r>
    </w:p>
    <w:p w14:paraId="2B1B126D" w14:textId="77777777" w:rsidR="002119D8" w:rsidRPr="003862BE" w:rsidRDefault="002119D8" w:rsidP="002119D8">
      <w:pPr>
        <w:pStyle w:val="ListParagraph"/>
        <w:numPr>
          <w:ilvl w:val="0"/>
          <w:numId w:val="1"/>
        </w:numPr>
        <w:rPr>
          <w:rFonts w:cstheme="minorHAnsi"/>
        </w:rPr>
      </w:pPr>
      <w:r w:rsidRPr="003862BE">
        <w:rPr>
          <w:rFonts w:cstheme="minorHAnsi"/>
        </w:rPr>
        <w:t>Serving Older Job Seekers</w:t>
      </w:r>
    </w:p>
    <w:p w14:paraId="489EB0BF" w14:textId="77777777" w:rsidR="002119D8" w:rsidRPr="003862BE" w:rsidRDefault="002119D8" w:rsidP="002119D8">
      <w:pPr>
        <w:pStyle w:val="ListParagraph"/>
        <w:numPr>
          <w:ilvl w:val="0"/>
          <w:numId w:val="1"/>
        </w:numPr>
        <w:rPr>
          <w:rFonts w:cstheme="minorHAnsi"/>
        </w:rPr>
      </w:pPr>
      <w:r w:rsidRPr="003862BE">
        <w:rPr>
          <w:rFonts w:cstheme="minorHAnsi"/>
        </w:rPr>
        <w:t>Serving Job Seekers with Cognitive Limitations</w:t>
      </w:r>
    </w:p>
    <w:p w14:paraId="0AEF5E5D" w14:textId="77777777" w:rsidR="002119D8" w:rsidRPr="003862BE" w:rsidRDefault="002119D8" w:rsidP="002119D8">
      <w:pPr>
        <w:pStyle w:val="ListParagraph"/>
        <w:numPr>
          <w:ilvl w:val="0"/>
          <w:numId w:val="1"/>
        </w:numPr>
        <w:rPr>
          <w:rFonts w:cstheme="minorHAnsi"/>
        </w:rPr>
      </w:pPr>
      <w:r w:rsidRPr="003862BE">
        <w:rPr>
          <w:rFonts w:cstheme="minorHAnsi"/>
        </w:rPr>
        <w:t>Serving Returning Citizens</w:t>
      </w:r>
    </w:p>
    <w:p w14:paraId="1C03DA7F" w14:textId="77777777" w:rsidR="002119D8" w:rsidRPr="003862BE" w:rsidRDefault="002119D8" w:rsidP="002119D8">
      <w:pPr>
        <w:pStyle w:val="ListParagraph"/>
        <w:numPr>
          <w:ilvl w:val="0"/>
          <w:numId w:val="1"/>
        </w:numPr>
        <w:rPr>
          <w:rFonts w:cstheme="minorHAnsi"/>
        </w:rPr>
      </w:pPr>
      <w:r w:rsidRPr="003862BE">
        <w:rPr>
          <w:rFonts w:cstheme="minorHAnsi"/>
        </w:rPr>
        <w:t>Disclosing Disability to Employers</w:t>
      </w:r>
    </w:p>
    <w:p w14:paraId="5AE20344" w14:textId="77777777" w:rsidR="002119D8" w:rsidRDefault="002119D8" w:rsidP="002119D8">
      <w:pPr>
        <w:pStyle w:val="ListParagraph"/>
        <w:numPr>
          <w:ilvl w:val="0"/>
          <w:numId w:val="1"/>
        </w:numPr>
        <w:rPr>
          <w:rFonts w:cstheme="minorHAnsi"/>
        </w:rPr>
      </w:pPr>
      <w:r w:rsidRPr="003862BE">
        <w:rPr>
          <w:rFonts w:cstheme="minorHAnsi"/>
        </w:rPr>
        <w:t>Serving Job Seekers who are Deaf or Hard-of-Hearing</w:t>
      </w:r>
    </w:p>
    <w:p w14:paraId="042BC351" w14:textId="77777777" w:rsidR="002119D8" w:rsidRPr="003862BE" w:rsidRDefault="002119D8" w:rsidP="002119D8">
      <w:pPr>
        <w:pStyle w:val="ListParagraph"/>
        <w:numPr>
          <w:ilvl w:val="0"/>
          <w:numId w:val="1"/>
        </w:numPr>
        <w:rPr>
          <w:rFonts w:cstheme="minorHAnsi"/>
        </w:rPr>
      </w:pPr>
      <w:r w:rsidRPr="003862BE">
        <w:rPr>
          <w:rFonts w:cstheme="minorHAnsi"/>
        </w:rPr>
        <w:t>Serving Job Seekers who are Blind</w:t>
      </w:r>
    </w:p>
    <w:p w14:paraId="3803E5EA" w14:textId="4C23E004" w:rsidR="002119D8" w:rsidRDefault="002119D8" w:rsidP="002E56F2">
      <w:pPr>
        <w:rPr>
          <w:rFonts w:cstheme="minorHAnsi"/>
          <w:b/>
        </w:rPr>
      </w:pPr>
      <w:r>
        <w:rPr>
          <w:rFonts w:cstheme="minorHAnsi"/>
          <w:b/>
        </w:rPr>
        <w:t>Providing Accommodations:</w:t>
      </w:r>
    </w:p>
    <w:p w14:paraId="472EF3B6" w14:textId="6F487677" w:rsidR="00CA424E" w:rsidRDefault="00CA424E" w:rsidP="00211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Americans with Disabilities Act Title II</w:t>
      </w:r>
    </w:p>
    <w:p w14:paraId="7775D578" w14:textId="77777777" w:rsidR="002119D8" w:rsidRPr="003862BE" w:rsidRDefault="002119D8" w:rsidP="002119D8">
      <w:pPr>
        <w:pStyle w:val="ListParagraph"/>
        <w:numPr>
          <w:ilvl w:val="0"/>
          <w:numId w:val="1"/>
        </w:numPr>
        <w:rPr>
          <w:rFonts w:cstheme="minorHAnsi"/>
        </w:rPr>
      </w:pPr>
      <w:r w:rsidRPr="003862BE">
        <w:rPr>
          <w:rFonts w:cstheme="minorHAnsi"/>
        </w:rPr>
        <w:t>Using the Job Accommodation Network</w:t>
      </w:r>
    </w:p>
    <w:p w14:paraId="7E8B56E0" w14:textId="77777777" w:rsidR="002119D8" w:rsidRPr="003862BE" w:rsidRDefault="002119D8" w:rsidP="002119D8">
      <w:pPr>
        <w:pStyle w:val="ListParagraph"/>
        <w:numPr>
          <w:ilvl w:val="0"/>
          <w:numId w:val="1"/>
        </w:numPr>
        <w:rPr>
          <w:rFonts w:cstheme="minorHAnsi"/>
        </w:rPr>
      </w:pPr>
      <w:r w:rsidRPr="003862BE">
        <w:rPr>
          <w:rFonts w:cstheme="minorHAnsi"/>
        </w:rPr>
        <w:t>Using Video Remote Interpreting Service</w:t>
      </w:r>
    </w:p>
    <w:p w14:paraId="4290BA00" w14:textId="77777777" w:rsidR="002119D8" w:rsidRPr="003862BE" w:rsidRDefault="002119D8" w:rsidP="002119D8">
      <w:pPr>
        <w:pStyle w:val="ListParagraph"/>
        <w:numPr>
          <w:ilvl w:val="0"/>
          <w:numId w:val="1"/>
        </w:numPr>
        <w:rPr>
          <w:rFonts w:cstheme="minorHAnsi"/>
        </w:rPr>
      </w:pPr>
      <w:r w:rsidRPr="003862BE">
        <w:rPr>
          <w:rFonts w:cstheme="minorHAnsi"/>
        </w:rPr>
        <w:t>Service Animals 101</w:t>
      </w:r>
    </w:p>
    <w:p w14:paraId="453C57C2" w14:textId="77777777" w:rsidR="002119D8" w:rsidRPr="003862BE" w:rsidRDefault="002119D8" w:rsidP="002119D8">
      <w:pPr>
        <w:pStyle w:val="ListParagraph"/>
        <w:numPr>
          <w:ilvl w:val="0"/>
          <w:numId w:val="1"/>
        </w:numPr>
        <w:rPr>
          <w:rFonts w:cstheme="minorHAnsi"/>
        </w:rPr>
      </w:pPr>
      <w:r w:rsidRPr="003862BE">
        <w:rPr>
          <w:rFonts w:cstheme="minorHAnsi"/>
        </w:rPr>
        <w:t xml:space="preserve">Non-Visual Desktop Access Software </w:t>
      </w:r>
    </w:p>
    <w:p w14:paraId="36FF8B70" w14:textId="77777777" w:rsidR="002119D8" w:rsidRPr="003862BE" w:rsidRDefault="002119D8" w:rsidP="002119D8">
      <w:pPr>
        <w:pStyle w:val="ListParagraph"/>
        <w:numPr>
          <w:ilvl w:val="0"/>
          <w:numId w:val="1"/>
        </w:numPr>
        <w:rPr>
          <w:rFonts w:cstheme="minorHAnsi"/>
        </w:rPr>
      </w:pPr>
      <w:r w:rsidRPr="003862BE">
        <w:rPr>
          <w:rFonts w:cstheme="minorHAnsi"/>
        </w:rPr>
        <w:t>Assistive Technology</w:t>
      </w:r>
    </w:p>
    <w:p w14:paraId="049518FD" w14:textId="77777777" w:rsidR="002119D8" w:rsidRPr="003862BE" w:rsidRDefault="002119D8" w:rsidP="002119D8">
      <w:pPr>
        <w:pStyle w:val="ListParagraph"/>
        <w:numPr>
          <w:ilvl w:val="0"/>
          <w:numId w:val="1"/>
        </w:numPr>
        <w:rPr>
          <w:rFonts w:cstheme="minorHAnsi"/>
        </w:rPr>
      </w:pPr>
      <w:r w:rsidRPr="003862BE">
        <w:rPr>
          <w:rFonts w:cstheme="minorHAnsi"/>
        </w:rPr>
        <w:t>Ensuring Document Accessibility</w:t>
      </w:r>
    </w:p>
    <w:p w14:paraId="08980C7E" w14:textId="79894CB0" w:rsidR="002119D8" w:rsidRDefault="002119D8" w:rsidP="002E56F2">
      <w:pPr>
        <w:rPr>
          <w:rFonts w:cstheme="minorHAnsi"/>
          <w:b/>
        </w:rPr>
      </w:pPr>
      <w:r>
        <w:rPr>
          <w:rFonts w:cstheme="minorHAnsi"/>
          <w:b/>
        </w:rPr>
        <w:t>Helpful Resources:</w:t>
      </w:r>
    </w:p>
    <w:p w14:paraId="26A61DF6" w14:textId="77777777" w:rsidR="002119D8" w:rsidRPr="003862BE" w:rsidRDefault="002119D8" w:rsidP="002119D8">
      <w:pPr>
        <w:pStyle w:val="ListParagraph"/>
        <w:numPr>
          <w:ilvl w:val="0"/>
          <w:numId w:val="1"/>
        </w:numPr>
        <w:rPr>
          <w:rFonts w:cstheme="minorHAnsi"/>
        </w:rPr>
      </w:pPr>
      <w:r w:rsidRPr="003862BE">
        <w:rPr>
          <w:rFonts w:cstheme="minorHAnsi"/>
        </w:rPr>
        <w:t>Reverse Job Fairs</w:t>
      </w:r>
    </w:p>
    <w:p w14:paraId="4DD830D8" w14:textId="77777777" w:rsidR="002119D8" w:rsidRPr="003862BE" w:rsidRDefault="002119D8" w:rsidP="002119D8">
      <w:pPr>
        <w:pStyle w:val="ListParagraph"/>
        <w:numPr>
          <w:ilvl w:val="0"/>
          <w:numId w:val="1"/>
        </w:numPr>
        <w:rPr>
          <w:rFonts w:cstheme="minorHAnsi"/>
        </w:rPr>
      </w:pPr>
      <w:r w:rsidRPr="003862BE">
        <w:rPr>
          <w:rFonts w:cstheme="minorHAnsi"/>
        </w:rPr>
        <w:t>Benefits Planning for Social Security Recipients</w:t>
      </w:r>
    </w:p>
    <w:p w14:paraId="79D6BD6F" w14:textId="135C2F39" w:rsidR="002119D8" w:rsidRPr="003862BE" w:rsidRDefault="002119D8" w:rsidP="002119D8">
      <w:pPr>
        <w:pStyle w:val="ListParagraph"/>
        <w:numPr>
          <w:ilvl w:val="0"/>
          <w:numId w:val="1"/>
        </w:numPr>
        <w:rPr>
          <w:rFonts w:cstheme="minorHAnsi"/>
        </w:rPr>
      </w:pPr>
      <w:r w:rsidRPr="003862BE">
        <w:rPr>
          <w:rFonts w:cstheme="minorHAnsi"/>
        </w:rPr>
        <w:t xml:space="preserve">Employment First </w:t>
      </w:r>
      <w:r w:rsidR="00CA424E">
        <w:rPr>
          <w:rFonts w:cstheme="minorHAnsi"/>
        </w:rPr>
        <w:t xml:space="preserve"> </w:t>
      </w:r>
    </w:p>
    <w:p w14:paraId="3E2E4BE7" w14:textId="77777777" w:rsidR="002119D8" w:rsidRPr="003862BE" w:rsidRDefault="002119D8" w:rsidP="002119D8">
      <w:pPr>
        <w:pStyle w:val="ListParagraph"/>
        <w:numPr>
          <w:ilvl w:val="0"/>
          <w:numId w:val="1"/>
        </w:numPr>
        <w:rPr>
          <w:rFonts w:cstheme="minorHAnsi"/>
        </w:rPr>
      </w:pPr>
      <w:r w:rsidRPr="003862BE">
        <w:rPr>
          <w:rFonts w:cstheme="minorHAnsi"/>
        </w:rPr>
        <w:t>Section 503</w:t>
      </w:r>
    </w:p>
    <w:p w14:paraId="1122AB12" w14:textId="77777777" w:rsidR="002119D8" w:rsidRDefault="002119D8" w:rsidP="002119D8">
      <w:pPr>
        <w:pStyle w:val="ListParagraph"/>
        <w:numPr>
          <w:ilvl w:val="0"/>
          <w:numId w:val="1"/>
        </w:numPr>
        <w:rPr>
          <w:rFonts w:cstheme="minorHAnsi"/>
        </w:rPr>
      </w:pPr>
      <w:r w:rsidRPr="003862BE">
        <w:rPr>
          <w:rFonts w:cstheme="minorHAnsi"/>
        </w:rPr>
        <w:t>Conducting Job Analysis</w:t>
      </w:r>
    </w:p>
    <w:p w14:paraId="02077DD6" w14:textId="77777777" w:rsidR="002119D8" w:rsidRDefault="002119D8" w:rsidP="002119D8">
      <w:pPr>
        <w:pStyle w:val="ListParagraph"/>
        <w:numPr>
          <w:ilvl w:val="0"/>
          <w:numId w:val="1"/>
        </w:numPr>
        <w:rPr>
          <w:rFonts w:cstheme="minorHAnsi"/>
        </w:rPr>
      </w:pPr>
      <w:r w:rsidRPr="003862BE">
        <w:rPr>
          <w:rFonts w:cstheme="minorHAnsi"/>
        </w:rPr>
        <w:t>Integrated Resource Teams</w:t>
      </w:r>
    </w:p>
    <w:p w14:paraId="5113CDC3" w14:textId="3902D0F8" w:rsidR="002750CB" w:rsidRPr="003862BE" w:rsidRDefault="00CA424E" w:rsidP="002119D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Serving on Boards and Commissions</w:t>
      </w:r>
    </w:p>
    <w:p w14:paraId="654BBE75" w14:textId="7150D7D6" w:rsidR="002E56F2" w:rsidRPr="000A2E1F" w:rsidRDefault="000E21F3" w:rsidP="00CD5B8E">
      <w:pPr>
        <w:pStyle w:val="Heading1"/>
      </w:pPr>
      <w:r w:rsidRPr="000A2E1F">
        <w:t>EVALUATION AND FOLLOW-UP</w:t>
      </w:r>
    </w:p>
    <w:p w14:paraId="4575138B" w14:textId="1DAB8C64" w:rsidR="000E21F3" w:rsidRDefault="000E21F3" w:rsidP="002E56F2">
      <w:pPr>
        <w:rPr>
          <w:rFonts w:cstheme="minorHAnsi"/>
        </w:rPr>
      </w:pPr>
      <w:r>
        <w:rPr>
          <w:rFonts w:cstheme="minorHAnsi"/>
        </w:rPr>
        <w:t>As your disability access committee moves forward in implementing this training series as part of your overall goal to inc</w:t>
      </w:r>
      <w:r w:rsidR="001F12AD">
        <w:rPr>
          <w:rFonts w:cstheme="minorHAnsi"/>
        </w:rPr>
        <w:t>rease comfort leve</w:t>
      </w:r>
      <w:r w:rsidR="00CE1D0D">
        <w:rPr>
          <w:rFonts w:cstheme="minorHAnsi"/>
        </w:rPr>
        <w:t>l</w:t>
      </w:r>
      <w:r>
        <w:rPr>
          <w:rFonts w:cstheme="minorHAnsi"/>
        </w:rPr>
        <w:t xml:space="preserve"> and competence in serving customers with disabilities, it is important to gather feedback from both partners and customers of the </w:t>
      </w:r>
      <w:r w:rsidR="00A10CCE">
        <w:rPr>
          <w:rFonts w:cstheme="minorHAnsi"/>
        </w:rPr>
        <w:t>American Job Center</w:t>
      </w:r>
      <w:r>
        <w:rPr>
          <w:rFonts w:cstheme="minorHAnsi"/>
        </w:rPr>
        <w:t xml:space="preserve">. The State Disability Access Committee </w:t>
      </w:r>
      <w:r w:rsidR="0083002E">
        <w:rPr>
          <w:rFonts w:cstheme="minorHAnsi"/>
        </w:rPr>
        <w:t>recommends that the assessment</w:t>
      </w:r>
      <w:r>
        <w:rPr>
          <w:rFonts w:cstheme="minorHAnsi"/>
        </w:rPr>
        <w:t xml:space="preserve"> be completed annually to measure impact of these trainings and to assist in the identification of future training topics. </w:t>
      </w:r>
    </w:p>
    <w:p w14:paraId="40A9E3BC" w14:textId="3781553D" w:rsidR="00CE1D0D" w:rsidRDefault="000E21F3" w:rsidP="00A10CCE">
      <w:pPr>
        <w:rPr>
          <w:rFonts w:cstheme="minorHAnsi"/>
        </w:rPr>
      </w:pPr>
      <w:r>
        <w:rPr>
          <w:rFonts w:cstheme="minorHAnsi"/>
        </w:rPr>
        <w:t>If you have any questions about how to use these trainings or have suggestions for future training topics please contact the State Disability Access Committee</w:t>
      </w:r>
      <w:r w:rsidR="00CE1D0D">
        <w:rPr>
          <w:rFonts w:cstheme="minorHAnsi"/>
        </w:rPr>
        <w:t>:</w:t>
      </w:r>
    </w:p>
    <w:p w14:paraId="09802E74" w14:textId="36DC9547" w:rsidR="00A10CCE" w:rsidRDefault="00CE1D0D" w:rsidP="00CE1D0D">
      <w:pPr>
        <w:spacing w:after="0" w:line="240" w:lineRule="auto"/>
        <w:rPr>
          <w:rFonts w:cstheme="minorHAnsi"/>
        </w:rPr>
      </w:pPr>
      <w:r>
        <w:rPr>
          <w:rFonts w:cstheme="minorHAnsi"/>
        </w:rPr>
        <w:t>David Mitchell</w:t>
      </w:r>
      <w:r w:rsidR="00A10CCE">
        <w:rPr>
          <w:rFonts w:cstheme="minorHAnsi"/>
        </w:rPr>
        <w:t>, Chair</w:t>
      </w:r>
      <w:r w:rsidR="00A10CCE">
        <w:rPr>
          <w:rFonts w:cstheme="minorHAnsi"/>
        </w:rPr>
        <w:tab/>
      </w:r>
      <w:r w:rsidR="00A10CCE">
        <w:rPr>
          <w:rFonts w:cstheme="minorHAnsi"/>
        </w:rPr>
        <w:tab/>
      </w:r>
      <w:r w:rsidR="00A10CCE">
        <w:rPr>
          <w:rFonts w:cstheme="minorHAnsi"/>
        </w:rPr>
        <w:tab/>
      </w:r>
      <w:r w:rsidR="00A10CCE">
        <w:rPr>
          <w:rFonts w:cstheme="minorHAnsi"/>
        </w:rPr>
        <w:tab/>
      </w:r>
      <w:r w:rsidR="00A10CCE">
        <w:rPr>
          <w:rFonts w:cstheme="minorHAnsi"/>
        </w:rPr>
        <w:tab/>
      </w:r>
      <w:r w:rsidR="00A10CCE">
        <w:rPr>
          <w:rFonts w:cstheme="minorHAnsi"/>
        </w:rPr>
        <w:tab/>
      </w:r>
      <w:r w:rsidR="00A10CCE">
        <w:rPr>
          <w:rFonts w:cstheme="minorHAnsi"/>
        </w:rPr>
        <w:tab/>
        <w:t>Page Eastin</w:t>
      </w:r>
      <w:r w:rsidR="00A10CCE">
        <w:rPr>
          <w:rFonts w:cstheme="minorHAnsi"/>
        </w:rPr>
        <w:tab/>
      </w:r>
      <w:r w:rsidR="00A10CCE">
        <w:rPr>
          <w:rFonts w:cstheme="minorHAnsi"/>
        </w:rPr>
        <w:tab/>
      </w:r>
      <w:r w:rsidR="00A10CCE">
        <w:rPr>
          <w:rFonts w:cstheme="minorHAnsi"/>
        </w:rPr>
        <w:tab/>
      </w:r>
      <w:r w:rsidR="00A10CCE">
        <w:rPr>
          <w:rFonts w:cstheme="minorHAnsi"/>
        </w:rPr>
        <w:tab/>
      </w:r>
    </w:p>
    <w:p w14:paraId="5795EEFC" w14:textId="77777777" w:rsidR="00A10CCE" w:rsidRDefault="00964C3A" w:rsidP="00A10CCE">
      <w:pPr>
        <w:spacing w:after="0" w:line="240" w:lineRule="auto"/>
        <w:rPr>
          <w:rFonts w:cstheme="minorHAnsi"/>
        </w:rPr>
      </w:pPr>
      <w:hyperlink r:id="rId10" w:history="1">
        <w:r w:rsidR="00CE1D0D" w:rsidRPr="00123145">
          <w:rPr>
            <w:rStyle w:val="Hyperlink"/>
            <w:rFonts w:cstheme="minorHAnsi"/>
          </w:rPr>
          <w:t>David.Mitchell@iowa.gov</w:t>
        </w:r>
      </w:hyperlink>
      <w:r w:rsidR="00A10CCE" w:rsidRPr="00A10CCE">
        <w:rPr>
          <w:rStyle w:val="Hyperlink"/>
          <w:rFonts w:cstheme="minorHAnsi"/>
          <w:u w:val="none"/>
        </w:rPr>
        <w:t xml:space="preserve">                                                    </w:t>
      </w:r>
      <w:r w:rsidR="00A10CCE" w:rsidRPr="00A10CCE">
        <w:rPr>
          <w:rStyle w:val="Hyperlink"/>
          <w:rFonts w:cstheme="minorHAnsi"/>
          <w:u w:val="none"/>
        </w:rPr>
        <w:tab/>
      </w:r>
      <w:r w:rsidR="00A10CCE" w:rsidRPr="00A10CCE">
        <w:rPr>
          <w:rStyle w:val="Hyperlink"/>
          <w:rFonts w:cstheme="minorHAnsi"/>
          <w:u w:val="none"/>
        </w:rPr>
        <w:tab/>
      </w:r>
      <w:r w:rsidR="00A10CCE" w:rsidRPr="00A10CCE">
        <w:rPr>
          <w:rStyle w:val="Hyperlink"/>
          <w:rFonts w:cstheme="minorHAnsi"/>
          <w:u w:val="none"/>
        </w:rPr>
        <w:tab/>
      </w:r>
      <w:hyperlink r:id="rId11" w:history="1">
        <w:r w:rsidR="00A10CCE" w:rsidRPr="00123145">
          <w:rPr>
            <w:rStyle w:val="Hyperlink"/>
            <w:rFonts w:cstheme="minorHAnsi"/>
          </w:rPr>
          <w:t>Page.Eastin@iwd.iowa.gov</w:t>
        </w:r>
      </w:hyperlink>
    </w:p>
    <w:p w14:paraId="31F9F544" w14:textId="77777777" w:rsidR="002E56F2" w:rsidRPr="003862BE" w:rsidRDefault="002E56F2">
      <w:pPr>
        <w:rPr>
          <w:rFonts w:cstheme="minorHAnsi"/>
        </w:rPr>
      </w:pPr>
    </w:p>
    <w:sectPr w:rsidR="002E56F2" w:rsidRPr="003862BE" w:rsidSect="002E56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EEB3F" w14:textId="77777777" w:rsidR="00964C3A" w:rsidRDefault="00964C3A" w:rsidP="00FC70E2">
      <w:pPr>
        <w:spacing w:after="0" w:line="240" w:lineRule="auto"/>
      </w:pPr>
      <w:r>
        <w:separator/>
      </w:r>
    </w:p>
  </w:endnote>
  <w:endnote w:type="continuationSeparator" w:id="0">
    <w:p w14:paraId="44DB3FA0" w14:textId="77777777" w:rsidR="00964C3A" w:rsidRDefault="00964C3A" w:rsidP="00FC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FE2E4" w14:textId="77777777" w:rsidR="00964C3A" w:rsidRDefault="00964C3A" w:rsidP="00FC70E2">
      <w:pPr>
        <w:spacing w:after="0" w:line="240" w:lineRule="auto"/>
      </w:pPr>
      <w:r>
        <w:separator/>
      </w:r>
    </w:p>
  </w:footnote>
  <w:footnote w:type="continuationSeparator" w:id="0">
    <w:p w14:paraId="2E1201B2" w14:textId="77777777" w:rsidR="00964C3A" w:rsidRDefault="00964C3A" w:rsidP="00FC7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635DB"/>
    <w:multiLevelType w:val="hybridMultilevel"/>
    <w:tmpl w:val="9B30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F2"/>
    <w:rsid w:val="0001702D"/>
    <w:rsid w:val="000702D4"/>
    <w:rsid w:val="000A2E1F"/>
    <w:rsid w:val="000E21F3"/>
    <w:rsid w:val="00121D17"/>
    <w:rsid w:val="001F12AD"/>
    <w:rsid w:val="002119D8"/>
    <w:rsid w:val="002750CB"/>
    <w:rsid w:val="002C75E3"/>
    <w:rsid w:val="002E56F2"/>
    <w:rsid w:val="003862BE"/>
    <w:rsid w:val="00416620"/>
    <w:rsid w:val="0042191A"/>
    <w:rsid w:val="004412E8"/>
    <w:rsid w:val="00535145"/>
    <w:rsid w:val="00635FC0"/>
    <w:rsid w:val="006D12A9"/>
    <w:rsid w:val="00801770"/>
    <w:rsid w:val="00822DFA"/>
    <w:rsid w:val="0083002E"/>
    <w:rsid w:val="00964C3A"/>
    <w:rsid w:val="00A10CCE"/>
    <w:rsid w:val="00B43506"/>
    <w:rsid w:val="00C462D0"/>
    <w:rsid w:val="00CA424E"/>
    <w:rsid w:val="00CD5B8E"/>
    <w:rsid w:val="00CE1D0D"/>
    <w:rsid w:val="00D05707"/>
    <w:rsid w:val="00D7741F"/>
    <w:rsid w:val="00DA0D2C"/>
    <w:rsid w:val="00DB0A89"/>
    <w:rsid w:val="00DB1A99"/>
    <w:rsid w:val="00E45494"/>
    <w:rsid w:val="00E5291A"/>
    <w:rsid w:val="00F91F4D"/>
    <w:rsid w:val="00F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FBCD"/>
  <w15:chartTrackingRefBased/>
  <w15:docId w15:val="{EA371008-2373-4C2C-BE9B-8805E196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6F2"/>
  </w:style>
  <w:style w:type="paragraph" w:styleId="Heading1">
    <w:name w:val="heading 1"/>
    <w:basedOn w:val="Normal"/>
    <w:next w:val="Normal"/>
    <w:link w:val="Heading1Char"/>
    <w:uiPriority w:val="9"/>
    <w:qFormat/>
    <w:rsid w:val="00CD5B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B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E56F2"/>
    <w:pPr>
      <w:spacing w:before="160" w:after="300" w:line="240" w:lineRule="auto"/>
      <w:contextualSpacing/>
    </w:pPr>
    <w:rPr>
      <w:rFonts w:ascii="Verdana" w:eastAsiaTheme="majorEastAsia" w:hAnsi="Verdana" w:cstheme="majorBidi"/>
      <w:color w:val="000000" w:themeColor="text1"/>
      <w:spacing w:val="20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56F2"/>
    <w:rPr>
      <w:rFonts w:ascii="Verdana" w:eastAsiaTheme="majorEastAsia" w:hAnsi="Verdana" w:cstheme="majorBidi"/>
      <w:color w:val="000000" w:themeColor="text1"/>
      <w:spacing w:val="20"/>
      <w:kern w:val="28"/>
      <w:sz w:val="36"/>
      <w:szCs w:val="52"/>
    </w:rPr>
  </w:style>
  <w:style w:type="paragraph" w:styleId="ListParagraph">
    <w:name w:val="List Paragraph"/>
    <w:basedOn w:val="Normal"/>
    <w:uiPriority w:val="34"/>
    <w:qFormat/>
    <w:rsid w:val="00822D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7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7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0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351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5B8E"/>
    <w:rPr>
      <w:rFonts w:asciiTheme="majorHAnsi" w:eastAsiaTheme="majorEastAsia" w:hAnsiTheme="majorHAnsi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C7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0E2"/>
  </w:style>
  <w:style w:type="paragraph" w:styleId="Footer">
    <w:name w:val="footer"/>
    <w:basedOn w:val="Normal"/>
    <w:link w:val="FooterChar"/>
    <w:uiPriority w:val="99"/>
    <w:unhideWhenUsed/>
    <w:rsid w:val="00FC7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0E2"/>
  </w:style>
  <w:style w:type="character" w:styleId="Hyperlink">
    <w:name w:val="Hyperlink"/>
    <w:basedOn w:val="DefaultParagraphFont"/>
    <w:uiPriority w:val="99"/>
    <w:unhideWhenUsed/>
    <w:rsid w:val="00CE1D0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5B8E"/>
    <w:rPr>
      <w:rFonts w:asciiTheme="majorHAnsi" w:eastAsiaTheme="majorEastAsia" w:hAnsiTheme="majorHAns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ereadyiowa.gov/disabilitytrain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ge.Eastin@iwd.iow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vid.Mitchell@io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iowa.gov/disability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Eastin, Page</dc:creator>
  <cp:keywords/>
  <dc:description/>
  <cp:lastModifiedBy>Microsoft Office User</cp:lastModifiedBy>
  <cp:revision>2</cp:revision>
  <dcterms:created xsi:type="dcterms:W3CDTF">2019-06-21T17:50:00Z</dcterms:created>
  <dcterms:modified xsi:type="dcterms:W3CDTF">2019-06-21T17:50:00Z</dcterms:modified>
</cp:coreProperties>
</file>